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C2340"/>
          <w:sz w:val="28"/>
        </w:rPr>
        <w:t>Isporučivost — stanje i projekcija do CW32</w:t>
      </w:r>
    </w:p>
    <w:p>
      <w:r>
        <w:t>Poštovani,</w:t>
      </w:r>
    </w:p>
    <w:p>
      <w:r>
        <w:t>Pripremio sam projekciju isporučivosti po GOLD / SILVER / BRONZE tieru za sljedećih 13 tjedana (CW20 → CW32). Analizu sam radio u dva scenarija — s punim demandom (B2B + B2C) i bez VP on-top potražnje (samo retail + web). Detalji u priloženoj Excel datoteci (Isporucivost_Uprava_Report.xlsx).</w:t>
      </w:r>
    </w:p>
    <w:p>
      <w:r>
        <w:rPr>
          <w:b/>
        </w:rPr>
        <w:t>Trenutno stanje (CW20):</w:t>
      </w:r>
    </w:p>
    <w:p>
      <w:pPr>
        <w:pStyle w:val="ListBullet"/>
      </w:pPr>
      <w:r>
        <w:t>❌  GOLD:  FULL 91.7%  ·  NO-VP 91.7%  ·  target 97%</w:t>
      </w:r>
    </w:p>
    <w:p>
      <w:pPr>
        <w:pStyle w:val="ListBullet"/>
      </w:pPr>
      <w:r>
        <w:t>❌  SILVER:  FULL 93.2%  ·  NO-VP 94.3%  ·  target 94%</w:t>
      </w:r>
    </w:p>
    <w:p>
      <w:pPr>
        <w:pStyle w:val="ListBullet"/>
      </w:pPr>
      <w:r>
        <w:t>✅  BRONZE:  FULL 95.2%  ·  NO-VP 95.7%  ·  target 83%</w:t>
      </w:r>
    </w:p>
    <w:p>
      <w:r>
        <w:rPr>
          <w:b/>
        </w:rPr>
        <w:t>Glavni nalazi:</w:t>
      </w:r>
    </w:p>
    <w:p>
      <w:pPr>
        <w:pStyle w:val="ListBullet"/>
      </w:pPr>
      <w:r>
        <w:t>U 13-tjednom horizontu **GOLD, SILVER** ne dosežu zadane targete. Razlog: stock za većinu SKU-ova depletira jer nema dovoljno scheduled PO-ova.</w:t>
      </w:r>
    </w:p>
    <w:p>
      <w:pPr>
        <w:pStyle w:val="ListBullet"/>
      </w:pPr>
      <w:r>
        <w:t>**13 SKU-ova** ne dosežu deliverable status u cijelom horizontu — to su artikli koji bez novog PO-a fizički ne mogu zadovoljiti tjednu potražnju. Detaljnu listu s razlogom (stock 0 / ETA postoji ali nedovoljna / PO nema) vidite u sheet-u 'Bottleneck SKUs'.</w:t>
      </w:r>
    </w:p>
    <w:p>
      <w:pPr>
        <w:pStyle w:val="ListBullet"/>
      </w:pPr>
      <w:r>
        <w:t>**136 SKU-ova** su trenutno deliverable, ALI padaju ispod thresholda u horizontu — early warning lista za proaktivno naručivanje (sheet 'Risk SKUs').</w:t>
      </w:r>
    </w:p>
    <w:p>
      <w:pPr>
        <w:pStyle w:val="ListBullet"/>
      </w:pPr>
      <w:r>
        <w:t>Trend: SILVER tier pada s 93.2% na 65.6% do CW32 (−28pp). Slično i Bronze. Bez intervencije ćemo izgubiti i Silver/Bronze targete koje trenutno zadovoljavamo.</w:t>
      </w:r>
    </w:p>
    <w:p>
      <w:r>
        <w:rPr>
          <w:b/>
        </w:rPr>
        <w:t>Preporuka:</w:t>
      </w:r>
    </w:p>
    <w:p>
      <w:pPr>
        <w:pStyle w:val="ListBullet"/>
      </w:pPr>
      <w:r>
        <w:t>Hitno donijeti odluku o PO-u za bottleneck SKU-ove (lista u Excel-u). Procjenjujemo da bi pokrivanje 11-12 ključnih GOLD SKU-ova bilo dovoljno da GOLD tier dosegne 97% target u sljedećih 4-6 tjedana.</w:t>
      </w:r>
    </w:p>
    <w:p>
      <w:pPr>
        <w:pStyle w:val="ListBullet"/>
      </w:pPr>
      <w:r>
        <w:t>Paralelno provjeriti datume i količine na ETA-ovima u Isporučivost listi — za fitness/borilačku/gadget kategoriju gdje nema PO-a u glavnom Coverage sustavu.</w:t>
      </w:r>
    </w:p>
    <w:p/>
    <w:p>
      <w:r>
        <w:rPr>
          <w:b/>
          <w:sz w:val="18"/>
        </w:rPr>
        <w:t xml:space="preserve">Metodologija: </w:t>
      </w:r>
      <w:r>
        <w:rPr>
          <w:color w:val="666666"/>
          <w:sz w:val="18"/>
        </w:rPr>
        <w:t>isporučivost = (stock_na_početku_tjedna + incoming_taj_tjedan) ≥ demand_taj_tjedan. Podaci: Coverage_W20.xlsx + incoming_supply.csv. ETA iz tablice Isporučivosti se primjenjuje samo na SKU-ove BEZ PO-a u Coverage-u.</w:t>
      </w:r>
    </w:p>
    <w:p/>
    <w:p>
      <w:r>
        <w:t>Srdačno,</w:t>
      </w:r>
    </w:p>
    <w:p>
      <w:r>
        <w:t>Lovro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