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4"/>
        </w:rPr>
        <w:t>Polleo Demand — Logika forecasta i supply-a</w:t>
      </w:r>
    </w:p>
    <w:p>
      <w:pPr>
        <w:jc w:val="center"/>
      </w:pPr>
      <w:r>
        <w:rPr>
          <w:i/>
          <w:color w:val="555555"/>
          <w:sz w:val="24"/>
        </w:rPr>
        <w:t>Detaljan opis modela, guardrails-a i biznis pravila</w:t>
      </w:r>
    </w:p>
    <w:p/>
    <w:p>
      <w:pPr>
        <w:pStyle w:val="Heading1"/>
      </w:pPr>
      <w:r>
        <w:rPr>
          <w:color w:val="1F3A5F"/>
        </w:rPr>
        <w:t>1. Arhitektura forecasta</w:t>
      </w:r>
    </w:p>
    <w:p>
      <w:pPr>
        <w:pStyle w:val="Heading2"/>
      </w:pPr>
      <w:r>
        <w:rPr>
          <w:color w:val="2E5E8C"/>
        </w:rPr>
        <w:t>1.1 Channel-split pristup</w:t>
      </w:r>
    </w:p>
    <w:p>
      <w:r>
        <w:t>Prognoza se radi odvojeno po kanalima, pa se zbraja na kraju. Razlog: retail, webshop i wholesale imaju drastično drugačije obrasce.</w:t>
      </w:r>
    </w:p>
    <w:p>
      <w:pPr>
        <w:pStyle w:val="ListBullet"/>
      </w:pPr>
      <w:r>
        <w:t>Retail — stabilna, tjedna dinamika, promo-sensitive</w:t>
      </w:r>
    </w:p>
    <w:p>
      <w:pPr>
        <w:pStyle w:val="ListBullet"/>
      </w:pPr>
      <w:r>
        <w:t>Webshop — slični obrasci kao retail ali s manjim volumenom i više sezonalnosti</w:t>
      </w:r>
    </w:p>
    <w:p>
      <w:pPr>
        <w:pStyle w:val="ListBullet"/>
      </w:pPr>
      <w:r>
        <w:t>Wholesale — lumpy / intermittent, veliki B2B order-i, manje predvidivo; koristi spike detection umjesto promo detection-a</w:t>
      </w:r>
    </w:p>
    <w:p>
      <w:pPr>
        <w:pStyle w:val="Heading2"/>
      </w:pPr>
      <w:r>
        <w:rPr>
          <w:color w:val="2E5E8C"/>
        </w:rPr>
        <w:t>1.2 Model pool</w:t>
      </w:r>
    </w:p>
    <w:p>
      <w:r>
        <w:t>Koriste se Nixtla StatsForecast modeli, odabrani po SKU-u automatski (najbolji po in-sample MAPE-u):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Model</w:t>
            </w:r>
          </w:p>
        </w:tc>
        <w:tc>
          <w:tcPr>
            <w:tcW w:type="dxa" w:w="4320"/>
          </w:tcPr>
          <w:p>
            <w:r>
              <w:rPr>
                <w:b/>
              </w:rPr>
              <w:t>Namjena</w:t>
            </w:r>
          </w:p>
        </w:tc>
      </w:tr>
      <w:tr>
        <w:tc>
          <w:tcPr>
            <w:tcW w:type="dxa" w:w="4320"/>
          </w:tcPr>
          <w:p>
            <w:r>
              <w:t>AutoARIMA</w:t>
            </w:r>
          </w:p>
        </w:tc>
        <w:tc>
          <w:tcPr>
            <w:tcW w:type="dxa" w:w="4320"/>
          </w:tcPr>
          <w:p>
            <w:r>
              <w:t>Kontinuirani podaci s trendom i sezonalnošću</w:t>
            </w:r>
          </w:p>
        </w:tc>
      </w:tr>
      <w:tr>
        <w:tc>
          <w:tcPr>
            <w:tcW w:type="dxa" w:w="4320"/>
          </w:tcPr>
          <w:p>
            <w:r>
              <w:t>AutoCES</w:t>
            </w:r>
          </w:p>
        </w:tc>
        <w:tc>
          <w:tcPr>
            <w:tcW w:type="dxa" w:w="4320"/>
          </w:tcPr>
          <w:p>
            <w:r>
              <w:t>Complex Exponential Smoothing</w:t>
            </w:r>
          </w:p>
        </w:tc>
      </w:tr>
      <w:tr>
        <w:tc>
          <w:tcPr>
            <w:tcW w:type="dxa" w:w="4320"/>
          </w:tcPr>
          <w:p>
            <w:r>
              <w:t>AutoTheta</w:t>
            </w:r>
          </w:p>
        </w:tc>
        <w:tc>
          <w:tcPr>
            <w:tcW w:type="dxa" w:w="4320"/>
          </w:tcPr>
          <w:p>
            <w:r>
              <w:t>Theta method — dobar za srednje volatilne SKU-ove</w:t>
            </w:r>
          </w:p>
        </w:tc>
      </w:tr>
      <w:tr>
        <w:tc>
          <w:tcPr>
            <w:tcW w:type="dxa" w:w="4320"/>
          </w:tcPr>
          <w:p>
            <w:r>
              <w:t>CrostonOptimized</w:t>
            </w:r>
          </w:p>
        </w:tc>
        <w:tc>
          <w:tcPr>
            <w:tcW w:type="dxa" w:w="4320"/>
          </w:tcPr>
          <w:p>
            <w:r>
              <w:t>Intermittent demand (puno nula)</w:t>
            </w:r>
          </w:p>
        </w:tc>
      </w:tr>
      <w:tr>
        <w:tc>
          <w:tcPr>
            <w:tcW w:type="dxa" w:w="4320"/>
          </w:tcPr>
          <w:p>
            <w:r>
              <w:t>ADIDA</w:t>
            </w:r>
          </w:p>
        </w:tc>
        <w:tc>
          <w:tcPr>
            <w:tcW w:type="dxa" w:w="4320"/>
          </w:tcPr>
          <w:p>
            <w:r>
              <w:t>Aggregate-Disaggregate Intermittent Demand Approach</w:t>
            </w:r>
          </w:p>
        </w:tc>
      </w:tr>
      <w:tr>
        <w:tc>
          <w:tcPr>
            <w:tcW w:type="dxa" w:w="4320"/>
          </w:tcPr>
          <w:p>
            <w:r>
              <w:t>IMAPA</w:t>
            </w:r>
          </w:p>
        </w:tc>
        <w:tc>
          <w:tcPr>
            <w:tcW w:type="dxa" w:w="4320"/>
          </w:tcPr>
          <w:p>
            <w:r>
              <w:t>Varijanta ADIDA</w:t>
            </w:r>
          </w:p>
        </w:tc>
      </w:tr>
      <w:tr>
        <w:tc>
          <w:tcPr>
            <w:tcW w:type="dxa" w:w="4320"/>
          </w:tcPr>
          <w:p>
            <w:r>
              <w:t>TSB</w:t>
            </w:r>
          </w:p>
        </w:tc>
        <w:tc>
          <w:tcPr>
            <w:tcW w:type="dxa" w:w="4320"/>
          </w:tcPr>
          <w:p>
            <w:r>
              <w:t>Teunter-Syntetos-Babai (smooth intermittent)</w:t>
            </w:r>
          </w:p>
        </w:tc>
      </w:tr>
      <w:tr>
        <w:tc>
          <w:tcPr>
            <w:tcW w:type="dxa" w:w="4320"/>
          </w:tcPr>
          <w:p>
            <w:r>
              <w:t>GBR (sklearn)</w:t>
            </w:r>
          </w:p>
        </w:tc>
        <w:tc>
          <w:tcPr>
            <w:tcW w:type="dxa" w:w="4320"/>
          </w:tcPr>
          <w:p>
            <w:r>
              <w:t>Tree-based, koristi promo flagove kao features</w:t>
            </w:r>
          </w:p>
        </w:tc>
      </w:tr>
    </w:tbl>
    <w:p>
      <w:r>
        <w:t>Holt / Holt-Winters su eksplicitno UKLONJENI zbog potvrđene nestabilnosti — generirali su eksplozivne forecaste na Bronze SKU-ovima. Ne vraćati.</w:t>
      </w:r>
    </w:p>
    <w:p>
      <w:pPr>
        <w:pStyle w:val="Heading2"/>
      </w:pPr>
      <w:r>
        <w:rPr>
          <w:color w:val="2E5E8C"/>
        </w:rPr>
        <w:t>1.3 Uplift model (ERP-driven)</w:t>
      </w:r>
    </w:p>
    <w:p>
      <w:r>
        <w:t>Promo uplift se računa iz erp_promo_calendar.csv (recalc_uplift_erp.py):</w:t>
      </w:r>
    </w:p>
    <w:p>
      <w:pPr>
        <w:pStyle w:val="ListNumber"/>
      </w:pPr>
      <w:r>
        <w:t>Za svaki SKU, uzmi tjedne kad je bio u promo po ERP-u (ne statistički).</w:t>
      </w:r>
    </w:p>
    <w:p>
      <w:pPr>
        <w:pStyle w:val="ListNumber"/>
      </w:pPr>
      <w:r>
        <w:t>Prosjek prodaje u promo tjednima / prosjek u non-promo tjednima = uplift faktor.</w:t>
      </w:r>
    </w:p>
    <w:p>
      <w:pPr>
        <w:pStyle w:val="ListNumber"/>
      </w:pPr>
      <w:r>
        <w:t>Ako SKU nema ≥ 2 promo tjedana ili ≥ 3 non-promo tjedna, fallback na category-level uplift iz cat_uplift.csv.</w:t>
      </w:r>
    </w:p>
    <w:p>
      <w:pPr>
        <w:pStyle w:val="ListNumber"/>
      </w:pPr>
      <w:r>
        <w:t>Ako ni to ne uspije → fallback 1.35 (PROMO_UPLIFT_FALLBACK).</w:t>
      </w:r>
    </w:p>
    <w:p>
      <w:r>
        <w:t>Ovaj pristup je zamijenio stari statistički detektor (threshold 10% discount) jer je ERP kalendar autoritativan. Statistički flagovi su i dalje prisutni u sales_clean.csv kao GBR features, ali više ne driveaju uplift.</w:t>
      </w:r>
    </w:p>
    <w:p>
      <w:pPr>
        <w:pStyle w:val="Heading2"/>
      </w:pPr>
      <w:r>
        <w:rPr>
          <w:color w:val="2E5E8C"/>
        </w:rPr>
        <w:t>1.4 MP on-top kao zamjena retail baseline-a (v3.7)</w:t>
      </w:r>
    </w:p>
    <w:p>
      <w:r>
        <w:t>Ključno biznis pravilo: kad CM (MP) upiše on-top za neki tjedan, taj broj predstavlja CJELOKUPNI očekivani retail sell-through za tog tjedna, NE inkrementalno povrh baseline-a. U promo tjednu regular retail baseline se ne događa uz promo — promo ga zamjenjuje.</w:t>
      </w:r>
    </w:p>
    <w:p>
      <w:r>
        <w:t>Implementacija u forecast_engine.py:</w:t>
      </w:r>
    </w:p>
    <w:p>
      <w:pPr>
        <w:pStyle w:val="ListBullet"/>
      </w:pPr>
      <w:r>
        <w:t>Split mode (wholesale-dominant SKU, ws_share ≥ 0.5): fc_retail[j] = 0 za svaki tjedan j gdje je mp_vals[j] &gt; 0. Wholesale baseline i webshop ostaju. Fc = fc_retail + fc_wholesale.</w:t>
      </w:r>
    </w:p>
    <w:p>
      <w:pPr>
        <w:pStyle w:val="ListBullet"/>
      </w:pPr>
      <w:r>
        <w:t>Total mode (retail-dominant SKU): fc[j] *= (1 − retail_phys_share) kad je mp_vals[j] &gt; 0. retail_phys_share = r_hist.sum() / full_sum.</w:t>
      </w:r>
    </w:p>
    <w:p>
      <w:pPr>
        <w:pStyle w:val="ListBullet"/>
      </w:pPr>
      <w:r>
        <w:t>VP on-top ostaje ISTINSKI INKREMENTALNO na wholesale baseline — velika narudžba B2B kupca se zbraja, ne zamjenjuje.</w:t>
      </w:r>
    </w:p>
    <w:p>
      <w:pPr>
        <w:pStyle w:val="ListBullet"/>
      </w:pPr>
      <w:r>
        <w:t>Samo fizički retail se zeroira — webshop se tretira odvojeno i ostaje u baseline-u.</w:t>
      </w:r>
    </w:p>
    <w:p>
      <w:r>
        <w:t>Stara 'cannibalization' logika (parcijalno skaliranje baseline-a na temelju kombiniranog ontop/baseline omjera) je UKLONJENA u v3.7. Zamijenjena je eksplicitnom MP-retail zamjenom koja je konceptualno čišća.</w:t>
      </w:r>
    </w:p>
    <w:p>
      <w:pPr>
        <w:pStyle w:val="Heading1"/>
      </w:pPr>
      <w:r>
        <w:rPr>
          <w:color w:val="1F3A5F"/>
        </w:rPr>
        <w:t>2. Guardrails — zašto ih NE dirati</w:t>
      </w:r>
    </w:p>
    <w:p>
      <w:pPr>
        <w:pStyle w:val="Heading2"/>
      </w:pPr>
      <w:r>
        <w:rPr>
          <w:color w:val="2E5E8C"/>
        </w:rPr>
        <w:t>2.1 Forecast cap (2×)</w:t>
      </w:r>
    </w:p>
    <w:p>
      <w:r>
        <w:t>Max(forecast) = 2 × prosjek zadnjih 13 tjedana (FORECAST_CAP_MULT = 2.0).</w:t>
      </w:r>
    </w:p>
    <w:p>
      <w:r>
        <w:t>Razlog: bez cap-a, intermittent SKU-ovi s rijetkim ali velikim promo eventima znali su generirati forecast 5-10× veći od realnog. Wholesale ima zasebni cap (WS_CAP_MULT = 1.5) jer je dinamika drugačija.</w:t>
      </w:r>
    </w:p>
    <w:p>
      <w:pPr>
        <w:pStyle w:val="Heading2"/>
      </w:pPr>
      <w:r>
        <w:rPr>
          <w:color w:val="2E5E8C"/>
        </w:rPr>
        <w:t>2.2 Forecast floor (50%)</w:t>
      </w:r>
    </w:p>
    <w:p>
      <w:r>
        <w:t>Min(forecast) = 0.5 × medijan zadnjih 8 tjedana (FORECAST_FLOOR_MULT = 0.5).</w:t>
      </w:r>
    </w:p>
    <w:p>
      <w:r>
        <w:t>Razlog: pojedini modeli (posebno Croston) znaju dati forecast blizu nule kad ima nekoliko nul-tjedana zaredom, što vodi u stockout. Floor to sprječava.</w:t>
      </w:r>
    </w:p>
    <w:p>
      <w:pPr>
        <w:pStyle w:val="Heading2"/>
      </w:pPr>
      <w:r>
        <w:rPr>
          <w:color w:val="2E5E8C"/>
        </w:rPr>
        <w:t>2.3 Promo detection skip</w:t>
      </w:r>
    </w:p>
    <w:p>
      <w:r>
        <w:t>Cleaning se PRESKAČE ako:</w:t>
      </w:r>
    </w:p>
    <w:p>
      <w:pPr>
        <w:pStyle w:val="ListBullet"/>
      </w:pPr>
      <w:r>
        <w:t>&gt;40% tjedana je flag-ano kao promo — znači da je „baseline“ zapravo već nizak, čišćenje bi distorziralo model.</w:t>
      </w:r>
    </w:p>
    <w:p>
      <w:pPr>
        <w:pStyle w:val="ListBullet"/>
      </w:pPr>
      <w:r>
        <w:t>4+ uzastopna zadnja tjedna su promo — znači trenutni run je realna nova baza.</w:t>
      </w:r>
    </w:p>
    <w:p>
      <w:pPr>
        <w:pStyle w:val="Heading1"/>
      </w:pPr>
      <w:r>
        <w:rPr>
          <w:color w:val="1F3A5F"/>
        </w:rPr>
        <w:t>3. ABC / XYZ klasifikacija</w:t>
      </w:r>
    </w:p>
    <w:p>
      <w:pPr>
        <w:pStyle w:val="Heading2"/>
      </w:pPr>
      <w:r>
        <w:rPr>
          <w:color w:val="2E5E8C"/>
        </w:rPr>
        <w:t>3.1 Oznaka (ABC tier)</w:t>
      </w:r>
    </w:p>
    <w:p>
      <w:pPr>
        <w:pStyle w:val="ListBullet"/>
      </w:pPr>
      <w:r>
        <w:t>01 GOLD — top revenue SKU-ovi, ~20% artikala / ~70% prometa</w:t>
      </w:r>
    </w:p>
    <w:p>
      <w:pPr>
        <w:pStyle w:val="ListBullet"/>
      </w:pPr>
      <w:r>
        <w:t>02 SILVER — srednji, ~30% artikala / ~20% prometa</w:t>
      </w:r>
    </w:p>
    <w:p>
      <w:pPr>
        <w:pStyle w:val="ListBullet"/>
      </w:pPr>
      <w:r>
        <w:t>03 BRONZE — dugi rep, ~50% artikala / ~10% prometa</w:t>
      </w:r>
    </w:p>
    <w:p>
      <w:pPr>
        <w:pStyle w:val="Heading2"/>
      </w:pPr>
      <w:r>
        <w:rPr>
          <w:color w:val="2E5E8C"/>
        </w:rPr>
        <w:t>3.2 XYZ klasa (volatilnost)</w:t>
      </w:r>
    </w:p>
    <w:p>
      <w:pPr>
        <w:pStyle w:val="ListBullet"/>
      </w:pPr>
      <w:r>
        <w:t>X — stabilna potražnja, CV &lt; 0.5</w:t>
      </w:r>
    </w:p>
    <w:p>
      <w:pPr>
        <w:pStyle w:val="ListBullet"/>
      </w:pPr>
      <w:r>
        <w:t>Y — srednje volatilna, 0.5 ≤ CV &lt; 1.0</w:t>
      </w:r>
    </w:p>
    <w:p>
      <w:pPr>
        <w:pStyle w:val="ListBullet"/>
      </w:pPr>
      <w:r>
        <w:t>Z — visoko volatilna / intermittent, CV ≥ 1.0</w:t>
      </w:r>
    </w:p>
    <w:p>
      <w:pPr>
        <w:pStyle w:val="Heading2"/>
      </w:pPr>
      <w:r>
        <w:rPr>
          <w:color w:val="2E5E8C"/>
        </w:rPr>
        <w:t>3.3 Kako tier utječe na workflow</w:t>
      </w:r>
    </w:p>
    <w:p>
      <w:pPr>
        <w:pStyle w:val="ListBullet"/>
      </w:pPr>
      <w:r>
        <w:t>Gold SKU-ovi — ručni review u Demand planning, uvijek u Top 30 watchlistu.</w:t>
      </w:r>
    </w:p>
    <w:p>
      <w:pPr>
        <w:pStyle w:val="ListBullet"/>
      </w:pPr>
      <w:r>
        <w:t>Silver — periodični pregled, fokus na promo aktivnosti.</w:t>
      </w:r>
    </w:p>
    <w:p>
      <w:pPr>
        <w:pStyle w:val="ListBullet"/>
      </w:pPr>
      <w:r>
        <w:t>Bronze — strukturno drag accuracy-ja (niska volumena → visok CV). Ne tretirati loš MAPE ovdje kao failure modela.</w:t>
      </w:r>
    </w:p>
    <w:p>
      <w:pPr>
        <w:pStyle w:val="ListBullet"/>
      </w:pPr>
      <w:r>
        <w:t>Long-tail (untiered) — ~2500 SKU-ova iz clothing/fitness/gadget. Ne forecasta se; uključen u Stock Projection preko trailing 13-week avg.</w:t>
      </w:r>
    </w:p>
    <w:p>
      <w:pPr>
        <w:pStyle w:val="Heading1"/>
      </w:pPr>
      <w:r>
        <w:rPr>
          <w:color w:val="1F3A5F"/>
        </w:rPr>
        <w:t>4. Supply — coverage i order logika</w:t>
      </w:r>
    </w:p>
    <w:p>
      <w:pPr>
        <w:pStyle w:val="Heading2"/>
      </w:pPr>
      <w:r>
        <w:rPr>
          <w:color w:val="2E5E8C"/>
        </w:rPr>
        <w:t>4.1 Stock roll-forward</w:t>
      </w:r>
    </w:p>
    <w:p>
      <w:r>
        <w:rPr>
          <w:rFonts w:ascii="Consolas" w:hAnsi="Consolas"/>
          <w:color w:val="333333"/>
          <w:sz w:val="18"/>
        </w:rPr>
        <w:t>opening(t)   = stock(t-1)</w:t>
        <w:br/>
        <w:t>closing(t)   = opening(t) - demand(t) + incoming(t)</w:t>
        <w:br/>
        <w:t>stock(t)     = closing(t)</w:t>
      </w:r>
    </w:p>
    <w:p>
      <w:r>
        <w:t>Demand = forecast_for_supply.csv po SKU/tjedan. Incoming = incoming_supply.csv.</w:t>
      </w:r>
    </w:p>
    <w:p>
      <w:pPr>
        <w:pStyle w:val="Heading2"/>
      </w:pPr>
      <w:r>
        <w:rPr>
          <w:color w:val="2E5E8C"/>
        </w:rPr>
        <w:t>4.2 Coverage</w:t>
      </w:r>
    </w:p>
    <w:p>
      <w:r>
        <w:t>Coverage (tjedni) = on_hand / avg_weekly_forecast.</w:t>
      </w:r>
    </w:p>
    <w:p>
      <w:r>
        <w:t>Koristi samo WH stock (stock.csv), ne store stock — jer je CM koji gleda coverage odgovoran za replenishment u WH, ne store-ove.</w:t>
      </w:r>
    </w:p>
    <w:p>
      <w:pPr>
        <w:pStyle w:val="Heading2"/>
      </w:pPr>
      <w:r>
        <w:rPr>
          <w:color w:val="2E5E8C"/>
        </w:rPr>
        <w:t>4.3 Suggested order qty</w:t>
      </w:r>
    </w:p>
    <w:p>
      <w:r>
        <w:rPr>
          <w:rFonts w:ascii="Consolas" w:hAnsi="Consolas"/>
          <w:color w:val="333333"/>
          <w:sz w:val="18"/>
        </w:rPr>
        <w:t>Q_order = max(MOQ, T_cov × D_avg − S_on_hand − S_incoming_in_LT)</w:t>
      </w:r>
    </w:p>
    <w:p>
      <w:r>
        <w:t>Gdje je:</w:t>
      </w:r>
    </w:p>
    <w:p>
      <w:pPr>
        <w:pStyle w:val="ListBullet"/>
      </w:pPr>
      <w:r>
        <w:t>T_cov — target coverage (default 8 tjedana, konfigurabilno)</w:t>
      </w:r>
    </w:p>
    <w:p>
      <w:pPr>
        <w:pStyle w:val="ListBullet"/>
      </w:pPr>
      <w:r>
        <w:t>D_avg — prosječna tjedna potražnja iz forecasta</w:t>
      </w:r>
    </w:p>
    <w:p>
      <w:pPr>
        <w:pStyle w:val="ListBullet"/>
      </w:pPr>
      <w:r>
        <w:t>S_on_hand — trenutni WH stock</w:t>
      </w:r>
    </w:p>
    <w:p>
      <w:pPr>
        <w:pStyle w:val="ListBullet"/>
      </w:pPr>
      <w:r>
        <w:t>S_incoming_in_LT — PO-ovi koji dolaze unutar lead-time prozora</w:t>
      </w:r>
    </w:p>
    <w:p>
      <w:pPr>
        <w:pStyle w:val="ListBullet"/>
      </w:pPr>
      <w:r>
        <w:t>MOQ — minimum order quantity od dobavljača</w:t>
      </w:r>
    </w:p>
    <w:p>
      <w:pPr>
        <w:pStyle w:val="Heading2"/>
      </w:pPr>
      <w:r>
        <w:rPr>
          <w:color w:val="2E5E8C"/>
        </w:rPr>
        <w:t>4.4 Stock projection — long-tail pristup</w:t>
      </w:r>
    </w:p>
    <w:p>
      <w:r>
        <w:t>Global Stock Projection stranica pokriva CJELOVITU sliku za WH + CFO:</w:t>
      </w:r>
    </w:p>
    <w:p>
      <w:pPr>
        <w:pStyle w:val="ListNumber"/>
      </w:pPr>
      <w:r>
        <w:t>Forecasted SKU-ovi (Gold/Silver/Bronze) — standardni forecast × uplift.</w:t>
      </w:r>
    </w:p>
    <w:p>
      <w:pPr>
        <w:pStyle w:val="ListNumber"/>
      </w:pPr>
      <w:r>
        <w:t>Long-tail SKU-ovi (~2500 artikala) — sintetički forecast iz trailing 13-week avg sales jer nemaju dovoljno podataka za StatsForecast.</w:t>
      </w:r>
    </w:p>
    <w:p>
      <w:pPr>
        <w:pStyle w:val="ListNumber"/>
      </w:pPr>
      <w:r>
        <w:t>Stock se zbraja iz WH + svih 3 store lokacija (HR + AT + SLO).</w:t>
      </w:r>
    </w:p>
    <w:p>
      <w:pPr>
        <w:pStyle w:val="ListNumber"/>
      </w:pPr>
      <w:r>
        <w:t>Closing value € = closing qty × cost_price iz sku_costs.csv.</w:t>
      </w:r>
    </w:p>
    <w:p>
      <w:pPr>
        <w:pStyle w:val="Heading1"/>
      </w:pPr>
      <w:r>
        <w:rPr>
          <w:color w:val="1F3A5F"/>
        </w:rPr>
        <w:t>5. Accuracy monitoring</w:t>
      </w:r>
    </w:p>
    <w:p>
      <w:pPr>
        <w:pStyle w:val="Heading2"/>
      </w:pPr>
      <w:r>
        <w:rPr>
          <w:color w:val="2E5E8C"/>
        </w:rPr>
        <w:t>5.1 Metrike — definicije (v3.7)</w:t>
      </w:r>
    </w:p>
    <w:p>
      <w:r>
        <w:t>Forecast Accuracy dashboard prati 3 metrike na svakoj razini (SKU, kategorija, tier, globalno):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Metrika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Formula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Interpretacija</w:t>
            </w:r>
          </w:p>
        </w:tc>
      </w:tr>
      <w:tr>
        <w:tc>
          <w:tcPr>
            <w:tcW w:type="dxa" w:w="2880"/>
          </w:tcPr>
          <w:p>
            <w:r>
              <w:t>FA (capped)</w:t>
            </w:r>
          </w:p>
        </w:tc>
        <w:tc>
          <w:tcPr>
            <w:tcW w:type="dxa" w:w="2880"/>
          </w:tcPr>
          <w:p>
            <w:r>
              <w:t>max(0, 1 − |forecast − actual| / actual) × 100</w:t>
            </w:r>
          </w:p>
        </w:tc>
        <w:tc>
          <w:tcPr>
            <w:tcW w:type="dxa" w:w="2880"/>
          </w:tcPr>
          <w:p>
            <w:r>
              <w:t>Magnituda greške, kapirano 0–100%. 100% = perfect.</w:t>
            </w:r>
          </w:p>
        </w:tc>
      </w:tr>
      <w:tr>
        <w:tc>
          <w:tcPr>
            <w:tcW w:type="dxa" w:w="2880"/>
          </w:tcPr>
          <w:p>
            <w:r>
              <w:t>FA signed</w:t>
            </w:r>
          </w:p>
        </w:tc>
        <w:tc>
          <w:tcPr>
            <w:tcW w:type="dxa" w:w="2880"/>
          </w:tcPr>
          <w:p>
            <w:r>
              <w:t>forecast / actual × 100</w:t>
            </w:r>
          </w:p>
        </w:tc>
        <w:tc>
          <w:tcPr>
            <w:tcW w:type="dxa" w:w="2880"/>
          </w:tcPr>
          <w:p>
            <w:r>
              <w:t>&lt;100% = under-forecast (prodali više); &gt;100% = over-forecast. Može prelaziti 100%, za razliku od FA.</w:t>
            </w:r>
          </w:p>
        </w:tc>
      </w:tr>
      <w:tr>
        <w:tc>
          <w:tcPr>
            <w:tcW w:type="dxa" w:w="2880"/>
          </w:tcPr>
          <w:p>
            <w:r>
              <w:t>BIAS</w:t>
            </w:r>
          </w:p>
        </w:tc>
        <w:tc>
          <w:tcPr>
            <w:tcW w:type="dxa" w:w="2880"/>
          </w:tcPr>
          <w:p>
            <w:r>
              <w:t>(forecast − actual) / actual × 100</w:t>
            </w:r>
          </w:p>
        </w:tc>
        <w:tc>
          <w:tcPr>
            <w:tcW w:type="dxa" w:w="2880"/>
          </w:tcPr>
          <w:p>
            <w:r>
              <w:t>Smjer greške. Negativno = pod-predvidjeli.</w:t>
            </w:r>
          </w:p>
        </w:tc>
      </w:tr>
    </w:tbl>
    <w:p>
      <w:pPr>
        <w:pStyle w:val="Heading2"/>
      </w:pPr>
      <w:r>
        <w:rPr>
          <w:color w:val="2E5E8C"/>
        </w:rPr>
        <w:t>5.2 Weekly vs Monthly agregacija (direktor rule)</w:t>
      </w:r>
    </w:p>
    <w:p>
      <w:pPr>
        <w:pStyle w:val="ListBullet"/>
      </w:pPr>
      <w:r>
        <w:t>Weekly tab: PROSJEK per-week metrika. Za svaki selektirani tjedan se prvo izračuna totals-based metrika, pa se uzme mean preko tjedana. FA dva tjedna (80%, 92%) → prikazano 86%.</w:t>
      </w:r>
    </w:p>
    <w:p>
      <w:pPr>
        <w:pStyle w:val="ListBullet"/>
      </w:pPr>
      <w:r>
        <w:t>Monthly tab: SUM-THEN-DIVIDE. Svi actuali i forecastovi se prvo zbroje preko tjedana, pa se izračuna FA iz totala. Različito od weekly — reflektira volume-weighted sliku za S&amp;OP.</w:t>
      </w:r>
    </w:p>
    <w:p>
      <w:pPr>
        <w:pStyle w:val="ListBullet"/>
      </w:pPr>
      <w:r>
        <w:t>Kategorijska tablica ispod sažetka prati istu konvenciju (weekly = avg, monthly = totals).</w:t>
      </w:r>
    </w:p>
    <w:p>
      <w:pPr>
        <w:pStyle w:val="Heading2"/>
      </w:pPr>
      <w:r>
        <w:rPr>
          <w:color w:val="2E5E8C"/>
        </w:rPr>
        <w:t>5.3 FA TOP 10 Impactors sekcija</w:t>
      </w:r>
    </w:p>
    <w:p>
      <w:r>
        <w:t>Ispod sažetaka, za jedan odabrani tjedan, prikazuju se 3 tablice rame uz rame — po jedna za 3 najveće kategorije (po actual volumenu). Svaka tablica pokazuje 10 SKU-ova s NAJVEĆOM apsolutnom greškom (|forecast − actual|) — oni koji najviše 'ruše' FA te kategorije.</w:t>
      </w:r>
    </w:p>
    <w:p>
      <w:r>
        <w:t>Sortiranje po apsolutnoj grešci (ne po lowest FA%) jer mali SKU s actualom 2 i FA 0% ima zanemariv impact; SKU s actualom 5000 i FA 40% je pravi krivac.</w:t>
      </w:r>
    </w:p>
    <w:p>
      <w:pPr>
        <w:pStyle w:val="Heading2"/>
      </w:pPr>
      <w:r>
        <w:rPr>
          <w:color w:val="2E5E8C"/>
        </w:rPr>
        <w:t>5.4 Očekivani rasponi (prema iskustvu)</w:t>
      </w:r>
    </w:p>
    <w:p>
      <w:pPr>
        <w:pStyle w:val="ListBullet"/>
      </w:pPr>
      <w:r>
        <w:t>Gold: FA 75–90% (MAPE 10–25%) — target zona, najviše leverage-a.</w:t>
      </w:r>
    </w:p>
    <w:p>
      <w:pPr>
        <w:pStyle w:val="ListBullet"/>
      </w:pPr>
      <w:r>
        <w:t>Silver: FA 60–75% — OK za planning svrhu.</w:t>
      </w:r>
    </w:p>
    <w:p>
      <w:pPr>
        <w:pStyle w:val="ListBullet"/>
      </w:pPr>
      <w:r>
        <w:t>Bronze: FA 0–50% — strukturno; ne optimizirati model za ovo.</w:t>
      </w:r>
    </w:p>
    <w:p>
      <w:pPr>
        <w:pStyle w:val="Heading2"/>
      </w:pPr>
      <w:r>
        <w:rPr>
          <w:color w:val="2E5E8C"/>
        </w:rPr>
        <w:t>5.5 Kad istražiti</w:t>
      </w:r>
    </w:p>
    <w:p>
      <w:pPr>
        <w:pStyle w:val="ListBullet"/>
      </w:pPr>
      <w:r>
        <w:t>Per-tier FA pomakne &gt; 2pp između dva backtest run-a — pauzirati, istražiti.</w:t>
      </w:r>
    </w:p>
    <w:p>
      <w:pPr>
        <w:pStyle w:val="ListBullet"/>
      </w:pPr>
      <w:r>
        <w:t>Pojedini Gold SKU ima FA &lt; 50% — vjerojatno promo event koji nije u ERP kalendaru, ili MP on-top nije upisan.</w:t>
      </w:r>
    </w:p>
    <w:p>
      <w:pPr>
        <w:pStyle w:val="ListBullet"/>
      </w:pPr>
      <w:r>
        <w:t>FA signed daleko od 100% sustavno (npr. 60% ili 140%) — bias problem, ne random volatility. Treba Planner Factor correction u Demand Plan-u.</w:t>
      </w:r>
    </w:p>
    <w:p>
      <w:pPr>
        <w:pStyle w:val="Heading2"/>
      </w:pPr>
      <w:r>
        <w:rPr>
          <w:color w:val="2E5E8C"/>
        </w:rPr>
        <w:t>5.6 Monthly caption — koji tjedni ulaze u mjesec</w:t>
      </w:r>
    </w:p>
    <w:p>
      <w:r>
        <w:t>Kad se u Monthly tab-u odabere mjesec, caption ispod selectbox-a eksplicitno lista tjedne koji su u njemu po ISO konvenciji (mapping po ponedjeljku tjedna). Flag-ira parcijalne tjedne (†) i tjedne koji prelaze u susjedni mjesec (*). Transparentno — planner točno zna što mjesec sadrži.</w:t>
      </w:r>
    </w:p>
    <w:p>
      <w:pPr>
        <w:pStyle w:val="Heading1"/>
      </w:pPr>
      <w:r>
        <w:rPr>
          <w:color w:val="1F3A5F"/>
        </w:rPr>
        <w:t>6. Sigurnosne i operativne napomene</w:t>
      </w:r>
    </w:p>
    <w:p>
      <w:pPr>
        <w:pStyle w:val="ListBullet"/>
      </w:pPr>
      <w:r>
        <w:t>Slack token živi u .env file-u (gitignored). Nikad ga ne stavljati u .bat.</w:t>
      </w:r>
    </w:p>
    <w:p>
      <w:pPr>
        <w:pStyle w:val="ListBullet"/>
      </w:pPr>
      <w:r>
        <w:t>Backup: cijeli data/ folder se može zipati jer je sve u CSV-ovima.</w:t>
      </w:r>
    </w:p>
    <w:p>
      <w:pPr>
        <w:pStyle w:val="ListBullet"/>
      </w:pPr>
      <w:r>
        <w:t>Verzioniranje: git commit-aj nakon svake veće promjene u forecast_engine.py ili update_sales.py.</w:t>
      </w:r>
    </w:p>
    <w:p>
      <w:pPr>
        <w:pStyle w:val="ListBullet"/>
      </w:pPr>
      <w:r>
        <w:t>Rollback: ako se nešto pokvari, pre_cleanup backupi postoje (backtest_fa.pre_cleanup.csv npr.).</w:t>
      </w:r>
    </w:p>
    <w:p>
      <w:pPr>
        <w:pStyle w:val="Heading1"/>
      </w:pPr>
      <w:r>
        <w:rPr>
          <w:color w:val="1F3A5F"/>
        </w:rPr>
        <w:t>7. Poznate slabosti (zna se, ne diraj bez razgovora)</w:t>
      </w:r>
    </w:p>
    <w:p>
      <w:pPr>
        <w:pStyle w:val="ListBullet"/>
      </w:pPr>
      <w:r>
        <w:t>Bronze accuracy strukturno loša — neće se popraviti modelom, treba ABC strategiju (npr. target service level niži za Bronze).</w:t>
      </w:r>
    </w:p>
    <w:p>
      <w:pPr>
        <w:pStyle w:val="ListBullet"/>
      </w:pPr>
      <w:r>
        <w:t>Long-tail forecast = trailing avg. Dovoljno za CFO pregled, nedovoljno za detaljno planiranje; to je OK jer se ti artikli operativno ne tretiraju kao forecastable.</w:t>
      </w:r>
    </w:p>
    <w:p>
      <w:pPr>
        <w:pStyle w:val="ListBullet"/>
      </w:pPr>
      <w:r>
        <w:t>sku_costs.csv povijesno imao rupe za ~39% long-taila; u v3.7 uveden 5-tier fallback za imputaciju cijena (sub_cat + gramaža → sub_cat + keywords → sub_cat per-gram → cat per-gram → cat flat median). Smanjuje rupe ali ne zamjenjuje stvarne podatke — treba popuniti ERP.</w:t>
      </w:r>
    </w:p>
    <w:p>
      <w:pPr>
        <w:pStyle w:val="ListBullet"/>
      </w:pPr>
      <w:r>
        <w:t>Promo detection na wholesale i dalje statistički (spike 3× medijan) jer ERP kalendar nema wholesale promocije.</w:t>
      </w:r>
    </w:p>
    <w:p>
      <w:pPr>
        <w:pStyle w:val="ListBullet"/>
      </w:pPr>
      <w:r>
        <w:t>Trenutni tjedan (npr. CW17 kad je CW_START = 18) u Revenue/RUC grafu se proxy-a s CW18 vrijednošću → pokazuje isti broj dva puta. Prava rješenja: snapshotati forecast per run u forecast_history.csv. Planirano, nije implementirano.</w:t>
      </w:r>
    </w:p>
    <w:p>
      <w:pPr>
        <w:pStyle w:val="Heading1"/>
      </w:pPr>
      <w:r>
        <w:rPr>
          <w:color w:val="1F3A5F"/>
        </w:rPr>
        <w:t>8. Planirane nadogradnje</w:t>
      </w:r>
    </w:p>
    <w:p>
      <w:pPr>
        <w:pStyle w:val="ListBullet"/>
      </w:pPr>
      <w:r>
        <w:t>Promo Planner — nova stranica za demand plannera da unaprijed unese najavljene akcije prije nego dođu u ERP kalendar.</w:t>
      </w:r>
    </w:p>
    <w:p>
      <w:pPr>
        <w:pStyle w:val="ListBullet"/>
      </w:pPr>
      <w:r>
        <w:t>Docker deployment — cijeli stack u container, deploy na IT-evu Docker infrastrukturu.</w:t>
      </w:r>
    </w:p>
    <w:p>
      <w:pPr>
        <w:pStyle w:val="ListBullet"/>
      </w:pPr>
      <w:r>
        <w:t>Model selection po XYZ klasi — X → ARIMA, Y → CES, Z → Croston (trenutno automatski odabir preko in-sample MAPE, može se optimizirati).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